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13.04.2020 N 149-пп</w:t>
              <w:br/>
              <w:t xml:space="preserve">"О внесении изменений в постановление Правительства Белгородской области от 20 июня 2011 года N 227-пп"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13 апреля 2020 г. N 149-пп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20 ИЮНЯ 2011 ГОДА N 227-ПП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Федеральный закон от 29.11.2010 N 326-ФЗ (ред. от 01.04.2020) &quot;Об обязательном медицинском страховании в Российской Федерации&quot; ------------ Недействующая редакция {КонсультантПлюс}">
        <w:r>
          <w:rPr>
            <w:sz w:val="20"/>
            <w:color w:val="0000ff"/>
          </w:rPr>
          <w:t xml:space="preserve">пунктом 8 части 2 статьи 7</w:t>
        </w:r>
      </w:hyperlink>
      <w:r>
        <w:rPr>
          <w:sz w:val="20"/>
        </w:rPr>
        <w:t xml:space="preserve"> Федерального закона от 29 ноября 2010 года N 326-ФЗ "Об обязательном медицинском страховании в Российской Федерации", </w:t>
      </w:r>
      <w:hyperlink w:history="0" r:id="rId8" w:tooltip="Постановление правительства Белгородской обл. от 11.04.2011 N 136-пп &quot;О переименовании Белгородского территориального фонда обязательного медицинского страхования и утверждении положения о территориальном фонде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пунктом 20.3</w:t>
        </w:r>
      </w:hyperlink>
      <w:r>
        <w:rPr>
          <w:sz w:val="20"/>
        </w:rPr>
        <w:t xml:space="preserve"> положения о территориальном фонде обязательного медицинского страхования Белгородской области, утвержденного постановлением Правительства Белгородской области от 11 апреля 2011 года N 136-пп "О переименовании Белгородского территориального фонда обязательного медицинского страхования и утверждении положения о территориальном фонде обязательного медицинского страхования Белгородской области",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9" w:tooltip="Постановление правительства Белгородской обл. от 20.06.2011 N 227-пп (ред. от 03.12.2018) &quot;О предельной численности, фонде оплаты труда и утверждении структуры территориального фонда обязательного медицинского страхования Белгородской области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20 июня 2011 года N 227-пп "О предельной численности, фонде оплаты труда и утверждении структуры территориального фонда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признать утратившей силу </w:t>
      </w:r>
      <w:hyperlink w:history="0" r:id="rId10" w:tooltip="Постановление правительства Белгородской обл. от 20.06.2011 N 227-пп (ред. от 03.12.2018) &quot;О предельной численности, фонде оплаты труда и утверждении структуры территориального фонда обязательного медицинского страхования Белгородской области&quot; {КонсультантПлюс}">
        <w:r>
          <w:rPr>
            <w:sz w:val="20"/>
            <w:color w:val="0000ff"/>
          </w:rPr>
          <w:t xml:space="preserve">структуру</w:t>
        </w:r>
      </w:hyperlink>
      <w:r>
        <w:rPr>
          <w:sz w:val="20"/>
        </w:rPr>
        <w:t xml:space="preserve"> территориального фонда обязательного медицинского страхования Белгородской области, утвержденную в пункте 2 названного постановления;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утвердить в </w:t>
      </w:r>
      <w:hyperlink w:history="0" r:id="rId11" w:tooltip="Постановление правительства Белгородской обл. от 20.06.2011 N 227-пп (ред. от 03.12.2018) &quot;О предельной численности, фонде оплаты труда и утверждении структуры территориального фонда обязательного медицинского страхования Белгородской области&quot; {КонсультантПлюс}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названного постановления </w:t>
      </w:r>
      <w:hyperlink w:history="0" w:anchor="P33" w:tooltip="СТРУКТУРА ТЕРРИТОРИАЛЬНОГО ФОНДА ОБЯЗАТЕЛЬНОГО">
        <w:r>
          <w:rPr>
            <w:sz w:val="20"/>
            <w:color w:val="0000ff"/>
          </w:rPr>
          <w:t xml:space="preserve">структуру</w:t>
        </w:r>
      </w:hyperlink>
      <w:r>
        <w:rPr>
          <w:sz w:val="20"/>
        </w:rPr>
        <w:t xml:space="preserve"> территориального фонда обязательного медицинского страхования Белгородской области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Финансирование изменения структуры территориального фонда обязательного медицинского страхования Белгородской области осуществлять в пределах фонда оплаты труда, утвержденного </w:t>
      </w:r>
      <w:hyperlink w:history="0" r:id="rId12" w:tooltip="Постановление Правительства Белгородской обл. от 30.12.2019 N 616-пп &quot;О фонде оплаты труда территориального фонда обязательного медицинского страхования Белгородской области на 2020 год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30 декабря 2019 года N 616-пп.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Утверждена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13 апреля 2020 года N 149-пп</w:t>
      </w:r>
    </w:p>
    <w:p>
      <w:pPr>
        <w:pStyle w:val="0"/>
        <w:jc w:val="both"/>
      </w:pPr>
      <w:r>
        <w:rPr>
          <w:sz w:val="20"/>
        </w:rPr>
      </w:r>
    </w:p>
    <w:bookmarkStart w:id="33" w:name="P33"/>
    <w:bookmarkEnd w:id="33"/>
    <w:p>
      <w:pPr>
        <w:pStyle w:val="2"/>
        <w:jc w:val="center"/>
      </w:pPr>
      <w:r>
        <w:rPr>
          <w:sz w:val="20"/>
        </w:rPr>
        <w:t xml:space="preserve">СТРУКТУРА ТЕРРИТОРИАЛЬНОГО ФОНДА ОБЯЗАТЕЛЬНОГО</w:t>
      </w:r>
    </w:p>
    <w:p>
      <w:pPr>
        <w:pStyle w:val="2"/>
        <w:jc w:val="center"/>
      </w:pPr>
      <w:r>
        <w:rPr>
          <w:sz w:val="20"/>
        </w:rPr>
        <w:t xml:space="preserve">МЕДИЦИНСКОГО СТРАХОВАНИЯ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┌─────────────────────────────────────────────────────────────────────────┐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1"/>
        <w:jc w:val="both"/>
      </w:pPr>
      <w:r>
        <w:rPr>
          <w:sz w:val="20"/>
        </w:rPr>
        <w:t xml:space="preserve">│                           Аппарат управления                            │</w:t>
      </w:r>
    </w:p>
    <w:p>
      <w:pPr>
        <w:pStyle w:val="1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├─────────────────────────────────────────────────────────────────────────┤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                                   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│                 ┌────────────────────────────────────┐                  │</w:t>
      </w:r>
    </w:p>
    <w:p>
      <w:pPr>
        <w:pStyle w:val="1"/>
        <w:jc w:val="both"/>
      </w:pPr>
      <w:r>
        <w:rPr>
          <w:sz w:val="20"/>
        </w:rPr>
        <w:t xml:space="preserve">│                 │              Директор              │                  │</w:t>
      </w:r>
    </w:p>
    <w:p>
      <w:pPr>
        <w:pStyle w:val="1"/>
        <w:jc w:val="both"/>
      </w:pPr>
      <w:r>
        <w:rPr>
          <w:sz w:val="20"/>
        </w:rPr>
        <w:t xml:space="preserve">│                 └────────────────┬───────────────────┘                  │</w:t>
      </w:r>
    </w:p>
    <w:p>
      <w:pPr>
        <w:pStyle w:val="1"/>
        <w:jc w:val="both"/>
      </w:pPr>
      <w:r>
        <w:rPr>
          <w:sz w:val="20"/>
        </w:rPr>
        <w:t xml:space="preserve">│                                  │                                      │</w:t>
      </w:r>
    </w:p>
    <w:p>
      <w:pPr>
        <w:pStyle w:val="1"/>
        <w:jc w:val="both"/>
      </w:pPr>
      <w:r>
        <w:rPr>
          <w:sz w:val="20"/>
        </w:rPr>
        <w:t xml:space="preserve">├─────────────┐   ┌──────────────┐ │┌──────────────────┐  ┌───────────────┤</w:t>
      </w:r>
    </w:p>
    <w:p>
      <w:pPr>
        <w:pStyle w:val="1"/>
        <w:jc w:val="both"/>
      </w:pPr>
      <w:r>
        <w:rPr>
          <w:sz w:val="20"/>
        </w:rPr>
        <w:t xml:space="preserve">│ Заместитель │   │ Заместитель  │ ││Советник директора│  │  Заместитель  │</w:t>
      </w:r>
    </w:p>
    <w:p>
      <w:pPr>
        <w:pStyle w:val="1"/>
        <w:jc w:val="both"/>
      </w:pPr>
      <w:r>
        <w:rPr>
          <w:sz w:val="20"/>
        </w:rPr>
        <w:t xml:space="preserve">│  директора  ├┐ ┌┤ директора -  │ ││                  │ ┌┤   директора   │</w:t>
      </w:r>
    </w:p>
    <w:p>
      <w:pPr>
        <w:pStyle w:val="1"/>
        <w:jc w:val="both"/>
      </w:pPr>
      <w:r>
        <w:rPr>
          <w:sz w:val="20"/>
        </w:rPr>
        <w:t xml:space="preserve">│             ││ ││   главный    │ ││                  │ ││               │</w:t>
      </w:r>
    </w:p>
    <w:p>
      <w:pPr>
        <w:pStyle w:val="1"/>
        <w:jc w:val="both"/>
      </w:pPr>
      <w:r>
        <w:rPr>
          <w:sz w:val="20"/>
        </w:rPr>
        <w:t xml:space="preserve">│             ││ ││  бухгалтер   │ ││                  │ ││               │</w:t>
      </w:r>
    </w:p>
    <w:p>
      <w:pPr>
        <w:pStyle w:val="1"/>
        <w:jc w:val="both"/>
      </w:pPr>
      <w:r>
        <w:rPr>
          <w:sz w:val="20"/>
        </w:rPr>
        <w:t xml:space="preserve">└─────────────┴┼─┼┴──────────────┴─┼┴──────────────────┴─┼┴───────────────┘</w:t>
      </w:r>
    </w:p>
    <w:p>
      <w:pPr>
        <w:pStyle w:val="1"/>
        <w:jc w:val="both"/>
      </w:pPr>
      <w:r>
        <w:rPr>
          <w:sz w:val="20"/>
        </w:rPr>
        <w:t xml:space="preserve">               │ │                 │                     │</w:t>
      </w:r>
    </w:p>
    <w:p>
      <w:pPr>
        <w:pStyle w:val="1"/>
        <w:jc w:val="both"/>
      </w:pPr>
      <w:r>
        <w:rPr>
          <w:sz w:val="20"/>
        </w:rPr>
        <w:t xml:space="preserve">┌─────────────┐│ │┌──────────────┐ │┌──────────────────┐ │┌───────────────┐</w:t>
      </w:r>
    </w:p>
    <w:p>
      <w:pPr>
        <w:pStyle w:val="1"/>
        <w:jc w:val="both"/>
      </w:pPr>
      <w:r>
        <w:rPr>
          <w:sz w:val="20"/>
        </w:rPr>
        <w:t xml:space="preserve">│ Финансовый  ├┤ ││    Отдел     │ ├┤Юридический отдел │ ││     Отдел     │</w:t>
      </w:r>
    </w:p>
    <w:p>
      <w:pPr>
        <w:pStyle w:val="1"/>
        <w:jc w:val="both"/>
      </w:pPr>
      <w:r>
        <w:rPr>
          <w:sz w:val="20"/>
        </w:rPr>
        <w:t xml:space="preserve">│    отдел    ││ └┤бухгалтерского│ │└──────────────────┘ ││  организации  │</w:t>
      </w:r>
    </w:p>
    <w:p>
      <w:pPr>
        <w:pStyle w:val="1"/>
        <w:jc w:val="both"/>
      </w:pPr>
      <w:r>
        <w:rPr>
          <w:sz w:val="20"/>
        </w:rPr>
        <w:t xml:space="preserve">└─────────────┘│  │   учета и    │ │                     ││   контроля    │</w:t>
      </w:r>
    </w:p>
    <w:p>
      <w:pPr>
        <w:pStyle w:val="1"/>
        <w:jc w:val="both"/>
      </w:pPr>
      <w:r>
        <w:rPr>
          <w:sz w:val="20"/>
        </w:rPr>
        <w:t xml:space="preserve">               │  │  отчетности  │ │┌──────────────────┐ ├┤   объемов и   │</w:t>
      </w:r>
    </w:p>
    <w:p>
      <w:pPr>
        <w:pStyle w:val="1"/>
        <w:jc w:val="both"/>
      </w:pPr>
      <w:r>
        <w:rPr>
          <w:sz w:val="20"/>
        </w:rPr>
        <w:t xml:space="preserve">┌─────────────┐│  └──────────────┘ ││ Отдел системного │ ││   качества    │</w:t>
      </w:r>
    </w:p>
    <w:p>
      <w:pPr>
        <w:pStyle w:val="1"/>
        <w:jc w:val="both"/>
      </w:pPr>
      <w:r>
        <w:rPr>
          <w:sz w:val="20"/>
        </w:rPr>
        <w:t xml:space="preserve">│  Планово-   ││                   ││администрирования,│ ││  медицинской  │</w:t>
      </w:r>
    </w:p>
    <w:p>
      <w:pPr>
        <w:pStyle w:val="1"/>
        <w:jc w:val="both"/>
      </w:pPr>
      <w:r>
        <w:rPr>
          <w:sz w:val="20"/>
        </w:rPr>
        <w:t xml:space="preserve">│экономический├┤                   ││защиты информации │ ││    помощи     │</w:t>
      </w:r>
    </w:p>
    <w:p>
      <w:pPr>
        <w:pStyle w:val="1"/>
        <w:jc w:val="both"/>
      </w:pPr>
      <w:r>
        <w:rPr>
          <w:sz w:val="20"/>
        </w:rPr>
        <w:t xml:space="preserve">│    отдел    ││                   ├┤  и программно-   │ │└───────────────┘</w:t>
      </w:r>
    </w:p>
    <w:p>
      <w:pPr>
        <w:pStyle w:val="1"/>
        <w:jc w:val="both"/>
      </w:pPr>
      <w:r>
        <w:rPr>
          <w:sz w:val="20"/>
        </w:rPr>
        <w:t xml:space="preserve">└─────────────┘│                   ││   технического   │ │</w:t>
      </w:r>
    </w:p>
    <w:p>
      <w:pPr>
        <w:pStyle w:val="1"/>
        <w:jc w:val="both"/>
      </w:pPr>
      <w:r>
        <w:rPr>
          <w:sz w:val="20"/>
        </w:rPr>
        <w:t xml:space="preserve">               │                   ││   обеспечения    │ │┌───────────────┐</w:t>
      </w:r>
    </w:p>
    <w:p>
      <w:pPr>
        <w:pStyle w:val="1"/>
        <w:jc w:val="both"/>
      </w:pPr>
      <w:r>
        <w:rPr>
          <w:sz w:val="20"/>
        </w:rPr>
        <w:t xml:space="preserve">┌─────────────┐│                   │└──────────────────┘ ││     Отдел     │</w:t>
      </w:r>
    </w:p>
    <w:p>
      <w:pPr>
        <w:pStyle w:val="1"/>
        <w:jc w:val="both"/>
      </w:pPr>
      <w:r>
        <w:rPr>
          <w:sz w:val="20"/>
        </w:rPr>
        <w:t xml:space="preserve">│    Отдел    ││                   │                     ├┤организации ОМС│</w:t>
      </w:r>
    </w:p>
    <w:p>
      <w:pPr>
        <w:pStyle w:val="1"/>
        <w:jc w:val="both"/>
      </w:pPr>
      <w:r>
        <w:rPr>
          <w:sz w:val="20"/>
        </w:rPr>
        <w:t xml:space="preserve">│  межтерри-  ├┘                   │┌──────────────────┐ │└───────────────┘</w:t>
      </w:r>
    </w:p>
    <w:p>
      <w:pPr>
        <w:pStyle w:val="1"/>
        <w:jc w:val="both"/>
      </w:pPr>
      <w:r>
        <w:rPr>
          <w:sz w:val="20"/>
        </w:rPr>
        <w:t xml:space="preserve">│ ториальных  │                    ├┤   Общий отдел    │ │</w:t>
      </w:r>
    </w:p>
    <w:p>
      <w:pPr>
        <w:pStyle w:val="1"/>
        <w:jc w:val="both"/>
      </w:pPr>
      <w:r>
        <w:rPr>
          <w:sz w:val="20"/>
        </w:rPr>
        <w:t xml:space="preserve">│  расчетов   │                    │└──────────────────┘ │┌───────────────┐</w:t>
      </w:r>
    </w:p>
    <w:p>
      <w:pPr>
        <w:pStyle w:val="1"/>
        <w:jc w:val="both"/>
      </w:pPr>
      <w:r>
        <w:rPr>
          <w:sz w:val="20"/>
        </w:rPr>
        <w:t xml:space="preserve">└─────────────┘                    │                     ││     Отдел     │</w:t>
      </w:r>
    </w:p>
    <w:p>
      <w:pPr>
        <w:pStyle w:val="1"/>
        <w:jc w:val="both"/>
      </w:pPr>
      <w:r>
        <w:rPr>
          <w:sz w:val="20"/>
        </w:rPr>
        <w:t xml:space="preserve">                                   │┌──────────────────┐ ├┤информационного│</w:t>
      </w:r>
    </w:p>
    <w:p>
      <w:pPr>
        <w:pStyle w:val="1"/>
        <w:jc w:val="both"/>
      </w:pPr>
      <w:r>
        <w:rPr>
          <w:sz w:val="20"/>
        </w:rPr>
        <w:t xml:space="preserve">                                   ││   Контрольно-    │ ││  обеспечения  │</w:t>
      </w:r>
    </w:p>
    <w:p>
      <w:pPr>
        <w:pStyle w:val="1"/>
        <w:jc w:val="both"/>
      </w:pPr>
      <w:r>
        <w:rPr>
          <w:sz w:val="20"/>
        </w:rPr>
        <w:t xml:space="preserve">                                   └┤ревизионный отдел │ │└───────────────┘</w:t>
      </w:r>
    </w:p>
    <w:p>
      <w:pPr>
        <w:pStyle w:val="1"/>
        <w:jc w:val="both"/>
      </w:pPr>
      <w:r>
        <w:rPr>
          <w:sz w:val="20"/>
        </w:rPr>
        <w:t xml:space="preserve">                                    └──────────────────┘ │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│┌───────────────┐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└┤ Контакт-центр │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└───────────────┘</w:t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13.04.2020 N 149-пп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349161&amp;dst=100094" TargetMode = "External"/>
	<Relationship Id="rId8" Type="http://schemas.openxmlformats.org/officeDocument/2006/relationships/hyperlink" Target="https://login.consultant.ru/link/?req=doc&amp;base=RLAW404&amp;n=22155&amp;dst=100096" TargetMode = "External"/>
	<Relationship Id="rId9" Type="http://schemas.openxmlformats.org/officeDocument/2006/relationships/hyperlink" Target="https://login.consultant.ru/link/?req=doc&amp;base=RLAW404&amp;n=65622" TargetMode = "External"/>
	<Relationship Id="rId10" Type="http://schemas.openxmlformats.org/officeDocument/2006/relationships/hyperlink" Target="https://login.consultant.ru/link/?req=doc&amp;base=RLAW404&amp;n=65622&amp;dst=4" TargetMode = "External"/>
	<Relationship Id="rId11" Type="http://schemas.openxmlformats.org/officeDocument/2006/relationships/hyperlink" Target="https://login.consultant.ru/link/?req=doc&amp;base=RLAW404&amp;n=65622&amp;dst=100007" TargetMode = "External"/>
	<Relationship Id="rId12" Type="http://schemas.openxmlformats.org/officeDocument/2006/relationships/hyperlink" Target="https://login.consultant.ru/link/?req=doc&amp;base=RLAW404&amp;n=7148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13.04.2020 N 149-пп
"О внесении изменений в постановление Правительства Белгородской области от 20 июня 2011 года N 227-пп"</dc:title>
  <dcterms:created xsi:type="dcterms:W3CDTF">2024-04-24T09:03:36Z</dcterms:created>
</cp:coreProperties>
</file>